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81" w:rsidRDefault="00AE0481" w:rsidP="009F221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Bioetica</w:t>
      </w:r>
      <w:proofErr w:type="spellEnd"/>
    </w:p>
    <w:p w:rsidR="009F221B" w:rsidRDefault="009F221B" w:rsidP="009F221B">
      <w:r>
        <w:rPr>
          <w:rFonts w:ascii="Arial" w:hAnsi="Arial" w:cs="Arial"/>
          <w:sz w:val="24"/>
          <w:szCs w:val="24"/>
        </w:rPr>
        <w:t>1-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 w:rsidR="00AE08BE" w:rsidRPr="009F221B">
        <w:rPr>
          <w:rFonts w:ascii="Arial" w:hAnsi="Arial" w:cs="Arial"/>
          <w:sz w:val="24"/>
          <w:szCs w:val="24"/>
        </w:rPr>
        <w:t>Este conflito complexo e presente na nova dogmática constitucional, estão na esfera jurídica do que os doutrinadores e juristas denominam de “colisão de direitos fundamentais” tema este que apresenta uma diversidade de princípios, quais a doutrina não é totalmente unânime, já que a constituição não dispõe sobre a solução destes conflitos. Todavia, nesta ceara de princípios que devem ser utilizados com o escopo de resolver os conflitos de direitos fundamentais, alguns se destacam: o princípio da unidade, da harmonização, proporcionalidade e o princípio da ponderação.</w:t>
      </w:r>
    </w:p>
    <w:p w:rsidR="009F221B" w:rsidRDefault="009F221B" w:rsidP="009F221B">
      <w:r>
        <w:t xml:space="preserve">     </w:t>
      </w:r>
      <w:r w:rsidR="00AE08BE" w:rsidRPr="009F221B">
        <w:rPr>
          <w:rFonts w:ascii="Arial" w:hAnsi="Arial" w:cs="Arial"/>
          <w:sz w:val="24"/>
          <w:szCs w:val="24"/>
        </w:rPr>
        <w:t>Em regra, não pode haver distinções entre os direitos fundamentais, em virtude de o texto magno ser Unitário e Harmônico, e que esses juízos de valor somente de dariam no bojo de real colisão entre direitos fundamentais, como no caso estudado, para justamente não dar margem à arbitrariedade e discricionariedade exagerada.</w:t>
      </w:r>
    </w:p>
    <w:p w:rsidR="009F221B" w:rsidRDefault="009F221B" w:rsidP="009F221B"/>
    <w:p w:rsidR="00AE08BE" w:rsidRPr="009F221B" w:rsidRDefault="009F221B" w:rsidP="009F221B">
      <w:r>
        <w:t xml:space="preserve">2-     </w:t>
      </w:r>
      <w:r w:rsidRPr="009F221B">
        <w:rPr>
          <w:rFonts w:ascii="Arial" w:hAnsi="Arial" w:cs="Arial"/>
          <w:color w:val="222222"/>
          <w:sz w:val="24"/>
          <w:szCs w:val="24"/>
        </w:rPr>
        <w:t xml:space="preserve">Sim, pois a bioética e o </w:t>
      </w:r>
      <w:proofErr w:type="spellStart"/>
      <w:r w:rsidRPr="009F221B">
        <w:rPr>
          <w:rFonts w:ascii="Arial" w:hAnsi="Arial" w:cs="Arial"/>
          <w:color w:val="222222"/>
          <w:sz w:val="24"/>
          <w:szCs w:val="24"/>
        </w:rPr>
        <w:t>biodireito</w:t>
      </w:r>
      <w:proofErr w:type="spellEnd"/>
      <w:r w:rsidRPr="009F221B">
        <w:rPr>
          <w:rFonts w:ascii="Arial" w:hAnsi="Arial" w:cs="Arial"/>
          <w:color w:val="222222"/>
          <w:sz w:val="24"/>
          <w:szCs w:val="24"/>
        </w:rPr>
        <w:t xml:space="preserve"> andam necessariamente juntos com os direitos humanos, não podendo, por isso, obstinar-se em não ver as tentativas da biologia molecular ou da </w:t>
      </w:r>
      <w:proofErr w:type="spellStart"/>
      <w:r w:rsidRPr="009F221B">
        <w:rPr>
          <w:rFonts w:ascii="Arial" w:hAnsi="Arial" w:cs="Arial"/>
          <w:color w:val="222222"/>
          <w:sz w:val="24"/>
          <w:szCs w:val="24"/>
        </w:rPr>
        <w:t>biotecnociência</w:t>
      </w:r>
      <w:proofErr w:type="spellEnd"/>
      <w:r w:rsidRPr="009F221B">
        <w:rPr>
          <w:rFonts w:ascii="Arial" w:hAnsi="Arial" w:cs="Arial"/>
          <w:color w:val="222222"/>
          <w:sz w:val="24"/>
          <w:szCs w:val="24"/>
        </w:rPr>
        <w:t xml:space="preserve"> de manterem injustiças contra a pessoa humana sob a máscara modernizante de que </w:t>
      </w:r>
      <w:proofErr w:type="gramStart"/>
      <w:r w:rsidRPr="009F221B">
        <w:rPr>
          <w:rFonts w:ascii="Arial" w:hAnsi="Arial" w:cs="Arial"/>
          <w:color w:val="222222"/>
          <w:sz w:val="24"/>
          <w:szCs w:val="24"/>
        </w:rPr>
        <w:t>buscam</w:t>
      </w:r>
      <w:proofErr w:type="gramEnd"/>
      <w:r w:rsidRPr="009F221B">
        <w:rPr>
          <w:rFonts w:ascii="Arial" w:hAnsi="Arial" w:cs="Arial"/>
          <w:color w:val="222222"/>
          <w:sz w:val="24"/>
          <w:szCs w:val="24"/>
        </w:rPr>
        <w:t xml:space="preserve"> o progresso científico em prol a humanidade. Se em algum lugar houver qualquer ato que não assegure a dignidade humana, ele deverá ser repudiado por contrariar as exigências ético-jurídicas dos direitos humanos.</w:t>
      </w:r>
      <w:bookmarkStart w:id="0" w:name="0.1__ftnref26"/>
      <w:bookmarkEnd w:id="0"/>
      <w:r w:rsidRPr="009F221B">
        <w:rPr>
          <w:rFonts w:ascii="Arial" w:hAnsi="Arial" w:cs="Arial"/>
          <w:color w:val="222222"/>
          <w:sz w:val="24"/>
          <w:szCs w:val="24"/>
        </w:rPr>
        <w:t xml:space="preserve"> Assim sendo, intervenções científicas sobre a pessoa humana que possam atingir sua vida e a integridade físico-mental deverão subordinar-se a preceitos éticos e não poderão contrariar os direitos humanos. As práticas médicas e científicas, que prometem trazer grandes benefícios à humanidade, contêm riscos potenciais muito perigosos e imprevisíveis, e, por tal razão, estes profissionais devem estar atentos para que não ultrapassem os limites éticos impostos pelo respeito à pessoa humana e à sua vida, integridade e dignidade.</w:t>
      </w:r>
      <w:bookmarkStart w:id="1" w:name="0.1__ftnref27"/>
      <w:bookmarkEnd w:id="1"/>
      <w:r w:rsidRPr="009F221B">
        <w:rPr>
          <w:rFonts w:ascii="Arial" w:hAnsi="Arial" w:cs="Arial"/>
          <w:color w:val="222222"/>
          <w:sz w:val="24"/>
          <w:szCs w:val="24"/>
        </w:rPr>
        <w:t xml:space="preserve"> Proteger a dignidade do homem é proteger a vida e o direito, porquanto, o direito à vida é o fundamento de todos os direitos. A ética da vida se insere por essa via na universalidade dos valores.</w:t>
      </w:r>
    </w:p>
    <w:p w:rsidR="00AE08BE" w:rsidRDefault="00AE08BE" w:rsidP="009F221B">
      <w:pPr>
        <w:rPr>
          <w:rFonts w:ascii="Arial" w:hAnsi="Arial" w:cs="Arial"/>
          <w:sz w:val="24"/>
          <w:szCs w:val="24"/>
        </w:rPr>
      </w:pPr>
    </w:p>
    <w:p w:rsidR="00AE0481" w:rsidRDefault="00AE0481" w:rsidP="009F22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Criminologia </w:t>
      </w:r>
    </w:p>
    <w:p w:rsidR="00AE0481" w:rsidRDefault="00AE0481" w:rsidP="009F221B">
      <w:pPr>
        <w:rPr>
          <w:rFonts w:ascii="Arial" w:hAnsi="Arial" w:cs="Arial"/>
          <w:sz w:val="24"/>
          <w:szCs w:val="24"/>
        </w:rPr>
      </w:pPr>
    </w:p>
    <w:p w:rsidR="00AE0481" w:rsidRDefault="00AE0481" w:rsidP="00AE0481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</w:rPr>
        <w:t xml:space="preserve">1- </w:t>
      </w:r>
      <w:r>
        <w:rPr>
          <w:rFonts w:ascii="Verdana" w:hAnsi="Verdana"/>
          <w:color w:val="000000"/>
          <w:sz w:val="20"/>
          <w:szCs w:val="20"/>
        </w:rPr>
        <w:t>Em seu trabalho, Freitas considera que o crescimento acelerado de algumas cidades americanas contribuiu para dificultar a vida da população (particularmente os migrantes e imigrantes), em especial no que tange à moradia. É aqui que surge uma espécie de cortiço, chamado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tenement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house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com condições absolutamente insalubres - o qual virá a originar os guetos. Face à vigorosa discriminação por parte dos americanos natos, em função da acirrada competição por empregos e </w:t>
      </w:r>
      <w:r>
        <w:rPr>
          <w:rFonts w:ascii="Verdana" w:hAnsi="Verdana"/>
          <w:color w:val="000000"/>
          <w:sz w:val="20"/>
          <w:szCs w:val="20"/>
        </w:rPr>
        <w:lastRenderedPageBreak/>
        <w:t>moradia, os guetos acabaram por se tornar os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loci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predominantes de residência dos imigrantes, locais de proteção e dignidade dessas famílias vindas de fora.</w:t>
      </w:r>
    </w:p>
    <w:p w:rsidR="00AE0481" w:rsidRDefault="00AE0481" w:rsidP="00AE0481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 gangue é outro fenômeno explicado pela cidade grande, especialmente entre os jovens das áreas e classes menos favorecidas. Ela se configurou em ponto de estudo dos sociólogos de Chicago, destacando-se, dentre eles, </w:t>
      </w:r>
      <w:proofErr w:type="spellStart"/>
      <w:r>
        <w:rPr>
          <w:rFonts w:ascii="Verdana" w:hAnsi="Verdana"/>
          <w:color w:val="000000"/>
          <w:sz w:val="20"/>
          <w:szCs w:val="20"/>
        </w:rPr>
        <w:t>Frederic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Trasher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AE0481" w:rsidRDefault="00AE0481" w:rsidP="00AE0481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Segundo Freitas, é nesse contexto de emergência de novos fenômenos sociais que surge uma modificação nas formas tradicionais de controle social. A igreja, a escola e a família desvanecem, cedendo espaço para um controle público, no qual é imprescindível o papel exercido pela lei. Emergem, então, outras instituições de controle, como a escola pública (instrumento de reprodução da ordem social) e a polícia (instrumento de repressão dos que desafiarem essa ordem).</w:t>
      </w:r>
    </w:p>
    <w:p w:rsidR="00AE0481" w:rsidRDefault="00AE0481" w:rsidP="00AE0481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Em seu segundo momento, a obra de Freitas, passa a tratar, especificamente, da cidade de Chicago - a qual, segundo o autor, foi uma das três cidades americanas (as outras são Nova Iorque e Filadélfia) que mais sofreram o processo de urbanização acelerada. Chicago foi a que recebeu o maior número de imigrantes, tanto externos como internos (cujo maior grupo era formado por negros vindos do Sul). Em 1890, Chicago passou a ser a segunda mais populosa cidade dos Estados Unidos, avultando-se a sua importância econômica graças ao seu vasto centro industrial e comercial. Paralelo a essa expansão ocorreu o crescimento da criminalidade, que foi atacada por uma política de repressão policial, cujo resultado apontou altos índices de encarceramento.</w:t>
      </w:r>
    </w:p>
    <w:p w:rsidR="00AE0481" w:rsidRDefault="00AE0481" w:rsidP="00AE0481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 terceira parte da obra enfoca a emergência da Escola de Chicago, dentro da Universidade de mesmo nome, demonstrando como ocorreu o seu surgimento e quais são as suas principais teorias. Segundo o autor, a Universidade de Chicago foi criada em meio ao contexto de crescimento urbano, com o intuito de fazer frente às universidades do leste americano. É a primeira universidade dos EUA que detém um Departamento de Sociologia (1892), nascedouro da Escola de Chicago, cuja história abarca duas fases: a primeira (1915 a 1940), objeto deste estudo, e a segunda, posterior à Segunda Guerra Mundial (1945 a 1960).</w:t>
      </w:r>
    </w:p>
    <w:p w:rsidR="00AE0481" w:rsidRDefault="00AE0481" w:rsidP="00AE0481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Freitas afirma que a Escola de Chicago recebeu influência de duas correntes teóricas importantes: o formalismo e o pragmatismo. A fusão dessas duas é a responsável pela realização de estudos focados em cenas sociais observáveis. Segundo ele, a idéia da intervenção social e da reforma permeou a ação dos filósofos e sociólogos de Chicago.</w:t>
      </w:r>
    </w:p>
    <w:p w:rsidR="00AE0481" w:rsidRDefault="00AE0481" w:rsidP="00AE0481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Constitucional III</w:t>
      </w:r>
    </w:p>
    <w:p w:rsidR="00AE0481" w:rsidRPr="00E47D08" w:rsidRDefault="00AE0481" w:rsidP="00E47D0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</w:rPr>
      </w:pPr>
      <w:r w:rsidRPr="00E47D08">
        <w:rPr>
          <w:rStyle w:val="Forte"/>
          <w:rFonts w:ascii="Arial" w:hAnsi="Arial" w:cs="Arial"/>
        </w:rPr>
        <w:t>Civil</w:t>
      </w:r>
      <w:r w:rsidR="00E47D08" w:rsidRPr="00E47D08">
        <w:rPr>
          <w:rStyle w:val="Forte"/>
          <w:rFonts w:ascii="Arial" w:hAnsi="Arial" w:cs="Arial"/>
        </w:rPr>
        <w:t xml:space="preserve"> Polícia</w:t>
      </w:r>
    </w:p>
    <w:p w:rsidR="00AE0481" w:rsidRPr="00E47D08" w:rsidRDefault="00AE0481" w:rsidP="00AE0481">
      <w:pPr>
        <w:pStyle w:val="NormalWeb"/>
        <w:shd w:val="clear" w:color="auto" w:fill="FFFFFF"/>
        <w:spacing w:before="360" w:beforeAutospacing="0" w:after="360" w:afterAutospacing="0" w:line="384" w:lineRule="atLeast"/>
        <w:textAlignment w:val="baseline"/>
        <w:rPr>
          <w:rFonts w:ascii="Arial" w:hAnsi="Arial" w:cs="Arial"/>
        </w:rPr>
      </w:pPr>
      <w:r w:rsidRPr="00E47D08">
        <w:rPr>
          <w:rFonts w:ascii="Arial" w:hAnsi="Arial" w:cs="Arial"/>
        </w:rPr>
        <w:t>Subordinadas aos governadores dos respectivos Estados, a Polícia Civil brasileira tem a função de polícia judiciária, ou seja, compete a essa força de segurança zelar pelo cumprimento da legislação e investigar os crimes cometidos contra as pessoas e contra o patrimônio.</w:t>
      </w:r>
    </w:p>
    <w:p w:rsidR="00AE0481" w:rsidRPr="00E47D08" w:rsidRDefault="00AE0481" w:rsidP="00AE0481">
      <w:pPr>
        <w:pStyle w:val="NormalWeb"/>
        <w:shd w:val="clear" w:color="auto" w:fill="FFFFFF"/>
        <w:spacing w:before="360" w:beforeAutospacing="0" w:after="360" w:afterAutospacing="0" w:line="384" w:lineRule="atLeast"/>
        <w:textAlignment w:val="baseline"/>
        <w:rPr>
          <w:rFonts w:ascii="Arial" w:hAnsi="Arial" w:cs="Arial"/>
        </w:rPr>
      </w:pPr>
      <w:r w:rsidRPr="00E47D08">
        <w:rPr>
          <w:rFonts w:ascii="Arial" w:hAnsi="Arial" w:cs="Arial"/>
        </w:rPr>
        <w:t>É de responsabilidade das polícias civis estaduais, por exemplo, a realização de exames periciais que serão anexados ao julgamento de determinado crime.</w:t>
      </w:r>
    </w:p>
    <w:p w:rsidR="00AE0481" w:rsidRPr="00E47D08" w:rsidRDefault="00AE0481" w:rsidP="00AE0481">
      <w:pPr>
        <w:pStyle w:val="NormalWeb"/>
        <w:shd w:val="clear" w:color="auto" w:fill="FFFFFF"/>
        <w:spacing w:before="360" w:beforeAutospacing="0" w:after="360" w:afterAutospacing="0" w:line="384" w:lineRule="atLeast"/>
        <w:textAlignment w:val="baseline"/>
        <w:rPr>
          <w:rFonts w:ascii="Arial" w:hAnsi="Arial" w:cs="Arial"/>
        </w:rPr>
      </w:pPr>
      <w:r w:rsidRPr="00E47D08">
        <w:rPr>
          <w:rFonts w:ascii="Arial" w:hAnsi="Arial" w:cs="Arial"/>
        </w:rPr>
        <w:lastRenderedPageBreak/>
        <w:t>A denominação civil tem sua origem na época do Império e se faz valer para diferenciar as atribuições policiais eminentemente investigativas.</w:t>
      </w:r>
    </w:p>
    <w:p w:rsidR="00AE0481" w:rsidRPr="00E47D08" w:rsidRDefault="00AE0481" w:rsidP="00AE0481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</w:rPr>
      </w:pPr>
      <w:r w:rsidRPr="00E47D08">
        <w:rPr>
          <w:rStyle w:val="Forte"/>
          <w:rFonts w:ascii="Arial" w:hAnsi="Arial" w:cs="Arial"/>
        </w:rPr>
        <w:t>Polícia Militar</w:t>
      </w:r>
    </w:p>
    <w:p w:rsidR="00AE0481" w:rsidRPr="00E47D08" w:rsidRDefault="00AE0481" w:rsidP="00AE0481">
      <w:pPr>
        <w:pStyle w:val="NormalWeb"/>
        <w:shd w:val="clear" w:color="auto" w:fill="FFFFFF"/>
        <w:spacing w:before="360" w:beforeAutospacing="0" w:after="360" w:afterAutospacing="0" w:line="384" w:lineRule="atLeast"/>
        <w:textAlignment w:val="baseline"/>
        <w:rPr>
          <w:rFonts w:ascii="Arial" w:hAnsi="Arial" w:cs="Arial"/>
        </w:rPr>
      </w:pPr>
      <w:r w:rsidRPr="00E47D08">
        <w:rPr>
          <w:rFonts w:ascii="Arial" w:hAnsi="Arial" w:cs="Arial"/>
        </w:rPr>
        <w:t>A criação da Polícia Militar no Brasil remonta à visita da Família Real portuguesa ao Rio de Janeiro, em 1808. À época, uma Guarda Real foi instituída para zelar pela segurança dos nobres, dando origem ao primeiro grupamento do tipo no País. As constituições imperiais, posteriormente, já contemplavam a existência desse tipo de força de segurança nos estados.</w:t>
      </w:r>
    </w:p>
    <w:p w:rsidR="00AE0481" w:rsidRPr="00E47D08" w:rsidRDefault="00AE0481" w:rsidP="00AE0481">
      <w:pPr>
        <w:pStyle w:val="NormalWeb"/>
        <w:shd w:val="clear" w:color="auto" w:fill="FFFFFF"/>
        <w:spacing w:before="360" w:beforeAutospacing="0" w:after="360" w:afterAutospacing="0" w:line="384" w:lineRule="atLeast"/>
        <w:textAlignment w:val="baseline"/>
        <w:rPr>
          <w:rFonts w:ascii="Arial" w:hAnsi="Arial" w:cs="Arial"/>
        </w:rPr>
      </w:pPr>
      <w:r w:rsidRPr="00E47D08">
        <w:rPr>
          <w:rFonts w:ascii="Arial" w:hAnsi="Arial" w:cs="Arial"/>
        </w:rPr>
        <w:t>Cada estado brasileiro possui uma força de segurança cuja função é realizar um policiamento ostensivo e preservar a lei e a ordem pública. Subordinam-se aos governadores estaduais e compõem uma reserva automática das Forças Armadas nacionais.</w:t>
      </w:r>
    </w:p>
    <w:p w:rsidR="00AE0481" w:rsidRPr="00E47D08" w:rsidRDefault="00AE0481" w:rsidP="00AE0481">
      <w:pPr>
        <w:pStyle w:val="NormalWeb"/>
        <w:shd w:val="clear" w:color="auto" w:fill="FFFFFF"/>
        <w:spacing w:before="360" w:beforeAutospacing="0" w:after="360" w:afterAutospacing="0" w:line="384" w:lineRule="atLeast"/>
        <w:textAlignment w:val="baseline"/>
        <w:rPr>
          <w:rFonts w:ascii="Arial" w:hAnsi="Arial" w:cs="Arial"/>
        </w:rPr>
      </w:pPr>
      <w:r w:rsidRPr="00E47D08">
        <w:rPr>
          <w:rFonts w:ascii="Arial" w:hAnsi="Arial" w:cs="Arial"/>
        </w:rPr>
        <w:t>A estrutura de organização da Polícia Militar corresponde àquela adotada pelo Exército, com a divisão em regimentos, batalhões e companhias, bem como a hierarquia nos postos de comando. As principais divisões da PM nos estados brasileiros são o Comando de Policiamento de Área, o Batalhão de Polícia Militar, a Companhia de Polícia Militar, o Pelotão de Polícia Militar, o Destacamento de Polícia Militar e o Posto de Policiamento Comunitário.</w:t>
      </w:r>
    </w:p>
    <w:p w:rsidR="00E47D08" w:rsidRPr="00E47D08" w:rsidRDefault="00E47D08" w:rsidP="00E47D0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</w:rPr>
      </w:pPr>
      <w:r w:rsidRPr="00E47D08">
        <w:rPr>
          <w:rStyle w:val="Forte"/>
          <w:rFonts w:ascii="Arial" w:hAnsi="Arial" w:cs="Arial"/>
        </w:rPr>
        <w:t>Polícia Federal</w:t>
      </w:r>
    </w:p>
    <w:p w:rsidR="00E47D08" w:rsidRPr="00E47D08" w:rsidRDefault="00E47D08" w:rsidP="00E47D08">
      <w:pPr>
        <w:pStyle w:val="NormalWeb"/>
        <w:shd w:val="clear" w:color="auto" w:fill="FFFFFF"/>
        <w:spacing w:before="360" w:beforeAutospacing="0" w:after="360" w:afterAutospacing="0" w:line="384" w:lineRule="atLeast"/>
        <w:textAlignment w:val="baseline"/>
        <w:rPr>
          <w:rFonts w:ascii="Arial" w:hAnsi="Arial" w:cs="Arial"/>
        </w:rPr>
      </w:pPr>
      <w:r w:rsidRPr="00E47D08">
        <w:rPr>
          <w:rFonts w:ascii="Arial" w:hAnsi="Arial" w:cs="Arial"/>
        </w:rPr>
        <w:t>Trata-se de uma polícia subordinada ao Ministério da Justiça e que tem como objetivo apurar infrações penais cometidas contra a União e suas empresas públicas; reprimir o tráfico de drogas e o contrabando no âmbito nacional e cumprir com o papel de agente oficial nos aeroportos e porto do País.</w:t>
      </w:r>
    </w:p>
    <w:p w:rsidR="00E47D08" w:rsidRPr="00E47D08" w:rsidRDefault="00E47D08" w:rsidP="00E47D08">
      <w:pPr>
        <w:pStyle w:val="NormalWeb"/>
        <w:shd w:val="clear" w:color="auto" w:fill="FFFFFF"/>
        <w:spacing w:before="360" w:beforeAutospacing="0" w:after="360" w:afterAutospacing="0" w:line="384" w:lineRule="atLeast"/>
        <w:textAlignment w:val="baseline"/>
        <w:rPr>
          <w:rFonts w:ascii="Arial" w:hAnsi="Arial" w:cs="Arial"/>
        </w:rPr>
      </w:pPr>
      <w:r w:rsidRPr="00E47D08">
        <w:rPr>
          <w:rFonts w:ascii="Arial" w:hAnsi="Arial" w:cs="Arial"/>
        </w:rPr>
        <w:t>Criada durante o governo de Getúlio Vargas, a Polícia Federal brasileira é sediada em Brasília, mas se desdobra pelo território nacional em três unidades: postos avançados, delegacias e superintendências, essas últimas com uma representação em cada estado da União.</w:t>
      </w:r>
    </w:p>
    <w:p w:rsidR="00AE0481" w:rsidRDefault="00AE0481" w:rsidP="006822FD">
      <w:pPr>
        <w:pStyle w:val="NormalWeb"/>
        <w:shd w:val="clear" w:color="auto" w:fill="FFFFFF"/>
        <w:ind w:left="720"/>
        <w:rPr>
          <w:rFonts w:ascii="Arial" w:hAnsi="Arial" w:cs="Arial"/>
        </w:rPr>
      </w:pPr>
    </w:p>
    <w:p w:rsidR="006822FD" w:rsidRDefault="006822FD" w:rsidP="006822FD">
      <w:pPr>
        <w:pStyle w:val="NormalWeb"/>
        <w:shd w:val="clear" w:color="auto" w:fill="FFFFFF"/>
        <w:ind w:left="720"/>
        <w:rPr>
          <w:rFonts w:ascii="Arial" w:hAnsi="Arial" w:cs="Arial"/>
        </w:rPr>
      </w:pPr>
    </w:p>
    <w:p w:rsidR="006822FD" w:rsidRDefault="006822FD" w:rsidP="006822FD">
      <w:pPr>
        <w:pStyle w:val="NormalWeb"/>
        <w:shd w:val="clear" w:color="auto" w:fill="FFFFFF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Processo </w:t>
      </w:r>
    </w:p>
    <w:p w:rsidR="006822FD" w:rsidRDefault="006822FD" w:rsidP="006822FD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Todas estão </w:t>
      </w:r>
      <w:proofErr w:type="gramStart"/>
      <w:r>
        <w:rPr>
          <w:rFonts w:ascii="Arial" w:hAnsi="Arial" w:cs="Arial"/>
        </w:rPr>
        <w:t>corretas ...</w:t>
      </w:r>
      <w:proofErr w:type="gramEnd"/>
    </w:p>
    <w:p w:rsidR="002E4BE5" w:rsidRPr="002E4BE5" w:rsidRDefault="002E4BE5" w:rsidP="002E4BE5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222222"/>
          <w:spacing w:val="-15"/>
          <w:sz w:val="38"/>
          <w:szCs w:val="38"/>
          <w:lang w:eastAsia="pt-BR"/>
        </w:rPr>
      </w:pPr>
      <w:r w:rsidRPr="002E4BE5">
        <w:rPr>
          <w:rFonts w:ascii="Helvetica" w:eastAsia="Times New Roman" w:hAnsi="Helvetica" w:cs="Helvetica"/>
          <w:b/>
          <w:bCs/>
          <w:color w:val="222222"/>
          <w:spacing w:val="-15"/>
          <w:sz w:val="38"/>
          <w:szCs w:val="38"/>
          <w:lang w:eastAsia="pt-BR"/>
        </w:rPr>
        <w:t>Prazo para contestação no Novo CPC</w:t>
      </w:r>
    </w:p>
    <w:p w:rsidR="002E4BE5" w:rsidRPr="002E4BE5" w:rsidRDefault="002E4BE5" w:rsidP="002E4BE5">
      <w:pPr>
        <w:pStyle w:val="PargrafodaLista"/>
        <w:shd w:val="clear" w:color="auto" w:fill="FFFFFF"/>
        <w:spacing w:after="264" w:line="384" w:lineRule="atLeast"/>
        <w:ind w:left="1080"/>
        <w:textAlignment w:val="baseline"/>
        <w:rPr>
          <w:rFonts w:ascii="Helvetica" w:eastAsia="Times New Roman" w:hAnsi="Helvetica" w:cs="Helvetica"/>
          <w:color w:val="404040"/>
          <w:sz w:val="21"/>
          <w:szCs w:val="21"/>
          <w:lang w:eastAsia="pt-BR"/>
        </w:rPr>
      </w:pPr>
      <w:r w:rsidRPr="002E4BE5">
        <w:rPr>
          <w:rFonts w:ascii="Helvetica" w:eastAsia="Times New Roman" w:hAnsi="Helvetica" w:cs="Helvetica"/>
          <w:color w:val="404040"/>
          <w:sz w:val="21"/>
          <w:szCs w:val="21"/>
          <w:lang w:eastAsia="pt-BR"/>
        </w:rPr>
        <w:t>O processo se inicia com a petição inicial que produz efeitos a partir do registro ou distribuição, o próximo ato, em regra, é a audiência de conciliação obrigatória (que poderá ocorrer em meio eletrônico).</w:t>
      </w:r>
    </w:p>
    <w:p w:rsidR="002E4BE5" w:rsidRPr="002E4BE5" w:rsidRDefault="002E4BE5" w:rsidP="002E4BE5">
      <w:pPr>
        <w:pStyle w:val="PargrafodaLista"/>
        <w:shd w:val="clear" w:color="auto" w:fill="FFFFFF"/>
        <w:spacing w:after="264" w:line="384" w:lineRule="atLeast"/>
        <w:ind w:left="1080"/>
        <w:textAlignment w:val="baseline"/>
        <w:rPr>
          <w:rFonts w:ascii="Helvetica" w:eastAsia="Times New Roman" w:hAnsi="Helvetica" w:cs="Helvetica"/>
          <w:color w:val="404040"/>
          <w:sz w:val="21"/>
          <w:szCs w:val="21"/>
          <w:lang w:eastAsia="pt-BR"/>
        </w:rPr>
      </w:pPr>
      <w:r w:rsidRPr="002E4BE5">
        <w:rPr>
          <w:rFonts w:ascii="Helvetica" w:eastAsia="Times New Roman" w:hAnsi="Helvetica" w:cs="Helvetica"/>
          <w:color w:val="404040"/>
          <w:sz w:val="21"/>
          <w:szCs w:val="21"/>
          <w:lang w:eastAsia="pt-BR"/>
        </w:rPr>
        <w:t>Apenas após a realização da audiência (e não a partir da citação), inicia a fluência do prazo para a contestação.</w:t>
      </w:r>
    </w:p>
    <w:p w:rsidR="002E4BE5" w:rsidRPr="002E4BE5" w:rsidRDefault="002E4BE5" w:rsidP="002E4BE5">
      <w:pPr>
        <w:pStyle w:val="PargrafodaLista"/>
        <w:shd w:val="clear" w:color="auto" w:fill="FFFFFF"/>
        <w:spacing w:before="300" w:after="300" w:line="384" w:lineRule="atLeast"/>
        <w:ind w:left="1080"/>
        <w:textAlignment w:val="baseline"/>
        <w:rPr>
          <w:rFonts w:ascii="inherit" w:eastAsia="Times New Roman" w:hAnsi="inherit" w:cs="Helvetica"/>
          <w:i/>
          <w:iCs/>
          <w:color w:val="404040"/>
          <w:sz w:val="21"/>
          <w:szCs w:val="21"/>
          <w:lang w:eastAsia="pt-BR"/>
        </w:rPr>
      </w:pPr>
      <w:r w:rsidRPr="002E4BE5">
        <w:rPr>
          <w:rFonts w:ascii="inherit" w:eastAsia="Times New Roman" w:hAnsi="inherit" w:cs="Helvetica"/>
          <w:i/>
          <w:iCs/>
          <w:color w:val="404040"/>
          <w:sz w:val="21"/>
          <w:szCs w:val="21"/>
          <w:lang w:eastAsia="pt-BR"/>
        </w:rPr>
        <w:t>Art. 335.  O réu poderá oferecer</w:t>
      </w:r>
      <w:r w:rsidRPr="002E4BE5">
        <w:rPr>
          <w:rFonts w:ascii="inherit" w:eastAsia="Times New Roman" w:hAnsi="inherit" w:cs="Helvetica"/>
          <w:i/>
          <w:iCs/>
          <w:color w:val="404040"/>
          <w:sz w:val="21"/>
          <w:lang w:eastAsia="pt-BR"/>
        </w:rPr>
        <w:t> </w:t>
      </w:r>
      <w:r w:rsidRPr="002E4BE5">
        <w:rPr>
          <w:rFonts w:ascii="inherit" w:eastAsia="Times New Roman" w:hAnsi="inherit" w:cs="Helvetica"/>
          <w:b/>
          <w:bCs/>
          <w:i/>
          <w:iCs/>
          <w:color w:val="404040"/>
          <w:sz w:val="21"/>
          <w:lang w:eastAsia="pt-BR"/>
        </w:rPr>
        <w:t>contestação</w:t>
      </w:r>
      <w:r w:rsidRPr="002E4BE5">
        <w:rPr>
          <w:rFonts w:ascii="inherit" w:eastAsia="Times New Roman" w:hAnsi="inherit" w:cs="Helvetica"/>
          <w:i/>
          <w:iCs/>
          <w:color w:val="404040"/>
          <w:sz w:val="21"/>
          <w:szCs w:val="21"/>
          <w:lang w:eastAsia="pt-BR"/>
        </w:rPr>
        <w:t>, por petição,</w:t>
      </w:r>
      <w:r w:rsidRPr="002E4BE5">
        <w:rPr>
          <w:rFonts w:ascii="inherit" w:eastAsia="Times New Roman" w:hAnsi="inherit" w:cs="Helvetica"/>
          <w:i/>
          <w:iCs/>
          <w:color w:val="404040"/>
          <w:sz w:val="21"/>
          <w:lang w:eastAsia="pt-BR"/>
        </w:rPr>
        <w:t> </w:t>
      </w:r>
      <w:r w:rsidRPr="002E4BE5">
        <w:rPr>
          <w:rFonts w:ascii="inherit" w:eastAsia="Times New Roman" w:hAnsi="inherit" w:cs="Helvetica"/>
          <w:b/>
          <w:bCs/>
          <w:i/>
          <w:iCs/>
          <w:color w:val="404040"/>
          <w:sz w:val="21"/>
          <w:lang w:eastAsia="pt-BR"/>
        </w:rPr>
        <w:t>no prazo de 15 (quinze) dias</w:t>
      </w:r>
      <w:r w:rsidRPr="002E4BE5">
        <w:rPr>
          <w:rFonts w:ascii="inherit" w:eastAsia="Times New Roman" w:hAnsi="inherit" w:cs="Helvetica"/>
          <w:i/>
          <w:iCs/>
          <w:color w:val="404040"/>
          <w:sz w:val="21"/>
          <w:szCs w:val="21"/>
          <w:lang w:eastAsia="pt-BR"/>
        </w:rPr>
        <w:t>, cujo termo inicial será a data:</w:t>
      </w:r>
    </w:p>
    <w:p w:rsidR="002E4BE5" w:rsidRPr="002E4BE5" w:rsidRDefault="002E4BE5" w:rsidP="002E4BE5">
      <w:pPr>
        <w:pStyle w:val="PargrafodaLista"/>
        <w:shd w:val="clear" w:color="auto" w:fill="FFFFFF"/>
        <w:spacing w:before="300" w:after="300" w:line="384" w:lineRule="atLeast"/>
        <w:ind w:left="1080"/>
        <w:textAlignment w:val="baseline"/>
        <w:rPr>
          <w:rFonts w:ascii="inherit" w:eastAsia="Times New Roman" w:hAnsi="inherit" w:cs="Helvetica"/>
          <w:i/>
          <w:iCs/>
          <w:color w:val="404040"/>
          <w:sz w:val="21"/>
          <w:szCs w:val="21"/>
          <w:lang w:eastAsia="pt-BR"/>
        </w:rPr>
      </w:pPr>
      <w:r w:rsidRPr="002E4BE5">
        <w:rPr>
          <w:rFonts w:ascii="inherit" w:eastAsia="Times New Roman" w:hAnsi="inherit" w:cs="Helvetica"/>
          <w:i/>
          <w:iCs/>
          <w:color w:val="404040"/>
          <w:sz w:val="21"/>
          <w:szCs w:val="21"/>
          <w:lang w:eastAsia="pt-BR"/>
        </w:rPr>
        <w:t>I –</w:t>
      </w:r>
      <w:r w:rsidRPr="002E4BE5">
        <w:rPr>
          <w:rFonts w:ascii="inherit" w:eastAsia="Times New Roman" w:hAnsi="inherit" w:cs="Helvetica"/>
          <w:i/>
          <w:iCs/>
          <w:color w:val="404040"/>
          <w:sz w:val="21"/>
          <w:lang w:eastAsia="pt-BR"/>
        </w:rPr>
        <w:t> </w:t>
      </w:r>
      <w:r w:rsidRPr="002E4BE5">
        <w:rPr>
          <w:rFonts w:ascii="inherit" w:eastAsia="Times New Roman" w:hAnsi="inherit" w:cs="Helvetica"/>
          <w:b/>
          <w:bCs/>
          <w:i/>
          <w:iCs/>
          <w:color w:val="404040"/>
          <w:sz w:val="21"/>
          <w:lang w:eastAsia="pt-BR"/>
        </w:rPr>
        <w:t>da audiência de conciliação ou de mediação</w:t>
      </w:r>
      <w:r w:rsidRPr="002E4BE5">
        <w:rPr>
          <w:rFonts w:ascii="inherit" w:eastAsia="Times New Roman" w:hAnsi="inherit" w:cs="Helvetica"/>
          <w:i/>
          <w:iCs/>
          <w:color w:val="404040"/>
          <w:sz w:val="21"/>
          <w:szCs w:val="21"/>
          <w:lang w:eastAsia="pt-BR"/>
        </w:rPr>
        <w:t xml:space="preserve">, ou da última sessão de conciliação, quando qualquer parte não comparecer ou, comparecendo, não houver </w:t>
      </w:r>
      <w:proofErr w:type="spellStart"/>
      <w:r w:rsidRPr="002E4BE5">
        <w:rPr>
          <w:rFonts w:ascii="inherit" w:eastAsia="Times New Roman" w:hAnsi="inherit" w:cs="Helvetica"/>
          <w:i/>
          <w:iCs/>
          <w:color w:val="404040"/>
          <w:sz w:val="21"/>
          <w:szCs w:val="21"/>
          <w:lang w:eastAsia="pt-BR"/>
        </w:rPr>
        <w:t>autocomposição</w:t>
      </w:r>
      <w:proofErr w:type="spellEnd"/>
      <w:r w:rsidRPr="002E4BE5">
        <w:rPr>
          <w:rFonts w:ascii="inherit" w:eastAsia="Times New Roman" w:hAnsi="inherit" w:cs="Helvetica"/>
          <w:i/>
          <w:iCs/>
          <w:color w:val="404040"/>
          <w:sz w:val="21"/>
          <w:szCs w:val="21"/>
          <w:lang w:eastAsia="pt-BR"/>
        </w:rPr>
        <w:t>;</w:t>
      </w:r>
    </w:p>
    <w:p w:rsidR="002E4BE5" w:rsidRPr="002E4BE5" w:rsidRDefault="002E4BE5" w:rsidP="002E4BE5">
      <w:pPr>
        <w:pStyle w:val="PargrafodaLista"/>
        <w:shd w:val="clear" w:color="auto" w:fill="FFFFFF"/>
        <w:spacing w:before="300" w:after="300" w:line="384" w:lineRule="atLeast"/>
        <w:ind w:left="1080"/>
        <w:textAlignment w:val="baseline"/>
        <w:rPr>
          <w:rFonts w:ascii="inherit" w:eastAsia="Times New Roman" w:hAnsi="inherit" w:cs="Helvetica"/>
          <w:i/>
          <w:iCs/>
          <w:color w:val="404040"/>
          <w:sz w:val="21"/>
          <w:szCs w:val="21"/>
          <w:lang w:eastAsia="pt-BR"/>
        </w:rPr>
      </w:pPr>
      <w:r w:rsidRPr="002E4BE5">
        <w:rPr>
          <w:rFonts w:ascii="inherit" w:eastAsia="Times New Roman" w:hAnsi="inherit" w:cs="Helvetica"/>
          <w:i/>
          <w:iCs/>
          <w:color w:val="404040"/>
          <w:sz w:val="21"/>
          <w:szCs w:val="21"/>
          <w:lang w:eastAsia="pt-BR"/>
        </w:rPr>
        <w:t xml:space="preserve">II – do protocolo do pedido de cancelamento da audiência de conciliação ou de mediação apresentado pelo réu, quando ocorrer </w:t>
      </w:r>
      <w:proofErr w:type="gramStart"/>
      <w:r w:rsidRPr="002E4BE5">
        <w:rPr>
          <w:rFonts w:ascii="inherit" w:eastAsia="Times New Roman" w:hAnsi="inherit" w:cs="Helvetica"/>
          <w:i/>
          <w:iCs/>
          <w:color w:val="404040"/>
          <w:sz w:val="21"/>
          <w:szCs w:val="21"/>
          <w:lang w:eastAsia="pt-BR"/>
        </w:rPr>
        <w:t>a</w:t>
      </w:r>
      <w:proofErr w:type="gramEnd"/>
      <w:r w:rsidRPr="002E4BE5">
        <w:rPr>
          <w:rFonts w:ascii="inherit" w:eastAsia="Times New Roman" w:hAnsi="inherit" w:cs="Helvetica"/>
          <w:i/>
          <w:iCs/>
          <w:color w:val="404040"/>
          <w:sz w:val="21"/>
          <w:szCs w:val="21"/>
          <w:lang w:eastAsia="pt-BR"/>
        </w:rPr>
        <w:t xml:space="preserve"> hipótese do art. 334, § 4</w:t>
      </w:r>
      <w:r w:rsidRPr="002E4BE5">
        <w:rPr>
          <w:rFonts w:ascii="inherit" w:eastAsia="Times New Roman" w:hAnsi="inherit" w:cs="Helvetica"/>
          <w:i/>
          <w:iCs/>
          <w:color w:val="404040"/>
          <w:sz w:val="21"/>
          <w:szCs w:val="21"/>
          <w:u w:val="single"/>
          <w:bdr w:val="none" w:sz="0" w:space="0" w:color="auto" w:frame="1"/>
          <w:vertAlign w:val="superscript"/>
          <w:lang w:eastAsia="pt-BR"/>
        </w:rPr>
        <w:t>o</w:t>
      </w:r>
      <w:r w:rsidRPr="002E4BE5">
        <w:rPr>
          <w:rFonts w:ascii="inherit" w:eastAsia="Times New Roman" w:hAnsi="inherit" w:cs="Helvetica"/>
          <w:i/>
          <w:iCs/>
          <w:color w:val="404040"/>
          <w:sz w:val="21"/>
          <w:szCs w:val="21"/>
          <w:lang w:eastAsia="pt-BR"/>
        </w:rPr>
        <w:t>, inciso I;</w:t>
      </w:r>
    </w:p>
    <w:p w:rsidR="002E4BE5" w:rsidRPr="002E4BE5" w:rsidRDefault="002E4BE5" w:rsidP="002E4BE5">
      <w:pPr>
        <w:pStyle w:val="PargrafodaLista"/>
        <w:shd w:val="clear" w:color="auto" w:fill="FFFFFF"/>
        <w:spacing w:before="300" w:after="300" w:line="384" w:lineRule="atLeast"/>
        <w:ind w:left="1080"/>
        <w:textAlignment w:val="baseline"/>
        <w:rPr>
          <w:rFonts w:ascii="inherit" w:eastAsia="Times New Roman" w:hAnsi="inherit" w:cs="Helvetica"/>
          <w:i/>
          <w:iCs/>
          <w:color w:val="404040"/>
          <w:sz w:val="21"/>
          <w:szCs w:val="21"/>
          <w:lang w:eastAsia="pt-BR"/>
        </w:rPr>
      </w:pPr>
      <w:r w:rsidRPr="002E4BE5">
        <w:rPr>
          <w:rFonts w:ascii="inherit" w:eastAsia="Times New Roman" w:hAnsi="inherit" w:cs="Helvetica"/>
          <w:i/>
          <w:iCs/>
          <w:color w:val="404040"/>
          <w:sz w:val="21"/>
          <w:szCs w:val="21"/>
          <w:lang w:eastAsia="pt-BR"/>
        </w:rPr>
        <w:t>III – prevista no art. 231, de acordo com o modo como foi feita a citação, nos demais casos.</w:t>
      </w:r>
    </w:p>
    <w:p w:rsidR="002E4BE5" w:rsidRPr="002E4BE5" w:rsidRDefault="002E4BE5" w:rsidP="002E4BE5">
      <w:pPr>
        <w:shd w:val="clear" w:color="auto" w:fill="FFFFFF"/>
        <w:spacing w:after="0" w:line="384" w:lineRule="atLeast"/>
        <w:ind w:left="720"/>
        <w:textAlignment w:val="baseline"/>
        <w:rPr>
          <w:rFonts w:ascii="Helvetica" w:eastAsia="Times New Roman" w:hAnsi="Helvetica" w:cs="Helvetica"/>
          <w:color w:val="404040"/>
          <w:sz w:val="21"/>
          <w:szCs w:val="21"/>
          <w:lang w:eastAsia="pt-BR"/>
        </w:rPr>
      </w:pPr>
      <w:r w:rsidRPr="002E4BE5">
        <w:rPr>
          <w:rFonts w:ascii="Helvetica" w:eastAsia="Times New Roman" w:hAnsi="Helvetica" w:cs="Helvetica"/>
          <w:color w:val="404040"/>
          <w:sz w:val="21"/>
          <w:szCs w:val="21"/>
          <w:lang w:eastAsia="pt-BR"/>
        </w:rPr>
        <w:t>O prazo, assim, é de 15 dias, lembrando que a contagem com o novo CPC só considera</w:t>
      </w:r>
      <w:r w:rsidRPr="002E4BE5">
        <w:rPr>
          <w:rFonts w:ascii="Helvetica" w:eastAsia="Times New Roman" w:hAnsi="Helvetica" w:cs="Helvetica"/>
          <w:color w:val="404040"/>
          <w:sz w:val="21"/>
          <w:lang w:eastAsia="pt-BR"/>
        </w:rPr>
        <w:t> </w:t>
      </w:r>
      <w:r w:rsidRPr="002E4BE5">
        <w:rPr>
          <w:rFonts w:ascii="inherit" w:eastAsia="Times New Roman" w:hAnsi="inherit" w:cs="Helvetica"/>
          <w:b/>
          <w:bCs/>
          <w:color w:val="404040"/>
          <w:sz w:val="21"/>
          <w:lang w:eastAsia="pt-BR"/>
        </w:rPr>
        <w:t>dias úteis</w:t>
      </w:r>
      <w:r w:rsidRPr="002E4BE5">
        <w:rPr>
          <w:rFonts w:ascii="Helvetica" w:eastAsia="Times New Roman" w:hAnsi="Helvetica" w:cs="Helvetica"/>
          <w:color w:val="404040"/>
          <w:sz w:val="21"/>
          <w:lang w:eastAsia="pt-BR"/>
        </w:rPr>
        <w:t> </w:t>
      </w:r>
      <w:r w:rsidRPr="002E4BE5">
        <w:rPr>
          <w:rFonts w:ascii="Helvetica" w:eastAsia="Times New Roman" w:hAnsi="Helvetica" w:cs="Helvetica"/>
          <w:color w:val="404040"/>
          <w:sz w:val="21"/>
          <w:szCs w:val="21"/>
          <w:lang w:eastAsia="pt-BR"/>
        </w:rPr>
        <w:t>(art. 219).</w:t>
      </w:r>
    </w:p>
    <w:p w:rsidR="002E4BE5" w:rsidRPr="002E4BE5" w:rsidRDefault="002E4BE5" w:rsidP="002E4BE5">
      <w:pPr>
        <w:shd w:val="clear" w:color="auto" w:fill="FFFFFF"/>
        <w:spacing w:after="0" w:line="384" w:lineRule="atLeast"/>
        <w:ind w:left="720"/>
        <w:textAlignment w:val="baseline"/>
        <w:rPr>
          <w:rFonts w:ascii="Helvetica" w:eastAsia="Times New Roman" w:hAnsi="Helvetica" w:cs="Helvetica"/>
          <w:color w:val="404040"/>
          <w:sz w:val="21"/>
          <w:szCs w:val="21"/>
          <w:lang w:eastAsia="pt-BR"/>
        </w:rPr>
      </w:pPr>
      <w:r w:rsidRPr="002E4BE5">
        <w:rPr>
          <w:rFonts w:ascii="Helvetica" w:eastAsia="Times New Roman" w:hAnsi="Helvetica" w:cs="Helvetica"/>
          <w:color w:val="404040"/>
          <w:sz w:val="21"/>
          <w:szCs w:val="21"/>
          <w:lang w:eastAsia="pt-BR"/>
        </w:rPr>
        <w:t>O inciso II do art. 335 citado é uma exceção, pois para que a audiência de conciliação não seja realizada é necessário que autor (na petição inicial)</w:t>
      </w:r>
      <w:r w:rsidRPr="002E4BE5">
        <w:rPr>
          <w:rFonts w:ascii="Helvetica" w:eastAsia="Times New Roman" w:hAnsi="Helvetica" w:cs="Helvetica"/>
          <w:color w:val="404040"/>
          <w:sz w:val="21"/>
          <w:lang w:eastAsia="pt-BR"/>
        </w:rPr>
        <w:t> </w:t>
      </w:r>
      <w:r w:rsidRPr="002E4BE5">
        <w:rPr>
          <w:rFonts w:ascii="inherit" w:eastAsia="Times New Roman" w:hAnsi="inherit" w:cs="Helvetica"/>
          <w:b/>
          <w:bCs/>
          <w:color w:val="404040"/>
          <w:sz w:val="21"/>
          <w:u w:val="single"/>
          <w:lang w:eastAsia="pt-BR"/>
        </w:rPr>
        <w:t>e</w:t>
      </w:r>
      <w:r w:rsidRPr="002E4BE5">
        <w:rPr>
          <w:rFonts w:ascii="Helvetica" w:eastAsia="Times New Roman" w:hAnsi="Helvetica" w:cs="Helvetica"/>
          <w:color w:val="404040"/>
          <w:sz w:val="21"/>
          <w:lang w:eastAsia="pt-BR"/>
        </w:rPr>
        <w:t> </w:t>
      </w:r>
      <w:r w:rsidRPr="002E4BE5">
        <w:rPr>
          <w:rFonts w:ascii="Helvetica" w:eastAsia="Times New Roman" w:hAnsi="Helvetica" w:cs="Helvetica"/>
          <w:color w:val="404040"/>
          <w:sz w:val="21"/>
          <w:szCs w:val="21"/>
          <w:lang w:eastAsia="pt-BR"/>
        </w:rPr>
        <w:t>o réu em manifestação com no mínimo 10 dias de antecedência da audiência se manifestem por sua não realização.</w:t>
      </w:r>
    </w:p>
    <w:p w:rsidR="002E4BE5" w:rsidRPr="002E4BE5" w:rsidRDefault="002E4BE5" w:rsidP="002E4BE5">
      <w:pPr>
        <w:shd w:val="clear" w:color="auto" w:fill="FFFFFF"/>
        <w:spacing w:after="0" w:line="384" w:lineRule="atLeast"/>
        <w:ind w:left="720"/>
        <w:textAlignment w:val="baseline"/>
        <w:rPr>
          <w:rFonts w:ascii="Helvetica" w:eastAsia="Times New Roman" w:hAnsi="Helvetica" w:cs="Helvetica"/>
          <w:color w:val="404040"/>
          <w:sz w:val="21"/>
          <w:szCs w:val="21"/>
          <w:lang w:eastAsia="pt-BR"/>
        </w:rPr>
      </w:pPr>
      <w:r w:rsidRPr="002E4BE5">
        <w:rPr>
          <w:rFonts w:ascii="inherit" w:eastAsia="Times New Roman" w:hAnsi="inherit" w:cs="Helvetica"/>
          <w:b/>
          <w:bCs/>
          <w:color w:val="404040"/>
          <w:sz w:val="21"/>
          <w:lang w:eastAsia="pt-BR"/>
        </w:rPr>
        <w:t>Não basta apenas uma das partes não querer como ocorre no sistema do CPC/73</w:t>
      </w:r>
      <w:r w:rsidRPr="002E4BE5">
        <w:rPr>
          <w:rFonts w:ascii="Helvetica" w:eastAsia="Times New Roman" w:hAnsi="Helvetica" w:cs="Helvetica"/>
          <w:color w:val="404040"/>
          <w:sz w:val="21"/>
          <w:szCs w:val="21"/>
          <w:lang w:eastAsia="pt-BR"/>
        </w:rPr>
        <w:t>.</w:t>
      </w:r>
    </w:p>
    <w:p w:rsidR="002E4BE5" w:rsidRPr="002E4BE5" w:rsidRDefault="002E4BE5" w:rsidP="002E4BE5">
      <w:pPr>
        <w:shd w:val="clear" w:color="auto" w:fill="FFFFFF"/>
        <w:spacing w:after="264" w:line="384" w:lineRule="atLeast"/>
        <w:ind w:left="720"/>
        <w:textAlignment w:val="baseline"/>
        <w:rPr>
          <w:rFonts w:ascii="Helvetica" w:eastAsia="Times New Roman" w:hAnsi="Helvetica" w:cs="Helvetica"/>
          <w:color w:val="404040"/>
          <w:sz w:val="21"/>
          <w:szCs w:val="21"/>
          <w:lang w:eastAsia="pt-BR"/>
        </w:rPr>
      </w:pPr>
      <w:r w:rsidRPr="002E4BE5">
        <w:rPr>
          <w:rFonts w:ascii="Helvetica" w:eastAsia="Times New Roman" w:hAnsi="Helvetica" w:cs="Helvetica"/>
          <w:color w:val="404040"/>
          <w:sz w:val="21"/>
          <w:szCs w:val="21"/>
          <w:lang w:eastAsia="pt-BR"/>
        </w:rPr>
        <w:t xml:space="preserve">Se o autor apresentou sua opção por não realizar audiência de conciliação/mediação, o prazo para a contestação começará a fluir da data em que o réu também </w:t>
      </w:r>
      <w:proofErr w:type="gramStart"/>
      <w:r w:rsidRPr="002E4BE5">
        <w:rPr>
          <w:rFonts w:ascii="Helvetica" w:eastAsia="Times New Roman" w:hAnsi="Helvetica" w:cs="Helvetica"/>
          <w:color w:val="404040"/>
          <w:sz w:val="21"/>
          <w:szCs w:val="21"/>
          <w:lang w:eastAsia="pt-BR"/>
        </w:rPr>
        <w:t>manifestou-se</w:t>
      </w:r>
      <w:proofErr w:type="gramEnd"/>
      <w:r w:rsidRPr="002E4BE5">
        <w:rPr>
          <w:rFonts w:ascii="Helvetica" w:eastAsia="Times New Roman" w:hAnsi="Helvetica" w:cs="Helvetica"/>
          <w:color w:val="404040"/>
          <w:sz w:val="21"/>
          <w:szCs w:val="21"/>
          <w:lang w:eastAsia="pt-BR"/>
        </w:rPr>
        <w:t xml:space="preserve"> neste sentido.</w:t>
      </w:r>
    </w:p>
    <w:p w:rsidR="002E4BE5" w:rsidRPr="002E4BE5" w:rsidRDefault="002E4BE5" w:rsidP="002E4BE5">
      <w:pPr>
        <w:shd w:val="clear" w:color="auto" w:fill="FFFFFF"/>
        <w:spacing w:after="0" w:line="384" w:lineRule="atLeast"/>
        <w:ind w:left="720"/>
        <w:textAlignment w:val="baseline"/>
        <w:rPr>
          <w:rFonts w:ascii="Helvetica" w:eastAsia="Times New Roman" w:hAnsi="Helvetica" w:cs="Helvetica"/>
          <w:color w:val="404040"/>
          <w:sz w:val="21"/>
          <w:szCs w:val="21"/>
          <w:lang w:eastAsia="pt-BR"/>
        </w:rPr>
      </w:pPr>
      <w:r w:rsidRPr="002E4BE5">
        <w:rPr>
          <w:rFonts w:ascii="Helvetica" w:eastAsia="Times New Roman" w:hAnsi="Helvetica" w:cs="Helvetica"/>
          <w:color w:val="404040"/>
          <w:sz w:val="21"/>
          <w:szCs w:val="21"/>
          <w:lang w:eastAsia="pt-BR"/>
        </w:rPr>
        <w:t>É digno de nota que o Novo CPC dispõe que se houver mais de um réu e estes tiverem procuradores de</w:t>
      </w:r>
      <w:r w:rsidRPr="002E4BE5">
        <w:rPr>
          <w:rFonts w:ascii="Helvetica" w:eastAsia="Times New Roman" w:hAnsi="Helvetica" w:cs="Helvetica"/>
          <w:color w:val="404040"/>
          <w:sz w:val="21"/>
          <w:lang w:eastAsia="pt-BR"/>
        </w:rPr>
        <w:t> </w:t>
      </w:r>
      <w:r w:rsidRPr="002E4BE5">
        <w:rPr>
          <w:rFonts w:ascii="inherit" w:eastAsia="Times New Roman" w:hAnsi="inherit" w:cs="Helvetica"/>
          <w:i/>
          <w:iCs/>
          <w:color w:val="404040"/>
          <w:sz w:val="21"/>
          <w:lang w:eastAsia="pt-BR"/>
        </w:rPr>
        <w:t>escritórios de advocacia distintos</w:t>
      </w:r>
      <w:r w:rsidRPr="002E4BE5">
        <w:rPr>
          <w:rFonts w:ascii="Helvetica" w:eastAsia="Times New Roman" w:hAnsi="Helvetica" w:cs="Helvetica"/>
          <w:color w:val="404040"/>
          <w:sz w:val="21"/>
          <w:lang w:eastAsia="pt-BR"/>
        </w:rPr>
        <w:t> </w:t>
      </w:r>
      <w:r w:rsidRPr="002E4BE5">
        <w:rPr>
          <w:rFonts w:ascii="Helvetica" w:eastAsia="Times New Roman" w:hAnsi="Helvetica" w:cs="Helvetica"/>
          <w:color w:val="404040"/>
          <w:sz w:val="21"/>
          <w:szCs w:val="21"/>
          <w:lang w:eastAsia="pt-BR"/>
        </w:rPr>
        <w:t>(requisito novo), o prazo será contado em dobro para processos físicos, ou seja, a dobra não é aplicável a processos eletrônicos, uma vez que há disponibilidade dos autos indistintamente a todas as partes.</w:t>
      </w:r>
    </w:p>
    <w:p w:rsidR="002E4BE5" w:rsidRPr="002E4BE5" w:rsidRDefault="002E4BE5" w:rsidP="002E4BE5">
      <w:pPr>
        <w:shd w:val="clear" w:color="auto" w:fill="FFFFFF"/>
        <w:spacing w:after="264" w:line="384" w:lineRule="atLeast"/>
        <w:ind w:left="720"/>
        <w:textAlignment w:val="baseline"/>
        <w:rPr>
          <w:rFonts w:ascii="Helvetica" w:eastAsia="Times New Roman" w:hAnsi="Helvetica" w:cs="Helvetica"/>
          <w:color w:val="404040"/>
          <w:sz w:val="21"/>
          <w:szCs w:val="21"/>
          <w:lang w:eastAsia="pt-BR"/>
        </w:rPr>
      </w:pPr>
      <w:r w:rsidRPr="002E4BE5">
        <w:rPr>
          <w:rFonts w:ascii="Helvetica" w:eastAsia="Times New Roman" w:hAnsi="Helvetica" w:cs="Helvetica"/>
          <w:color w:val="404040"/>
          <w:sz w:val="21"/>
          <w:szCs w:val="21"/>
          <w:lang w:eastAsia="pt-BR"/>
        </w:rPr>
        <w:lastRenderedPageBreak/>
        <w:t>Se houver mais de um réu, é necessário que todos manifestem recusa à audiência de conciliação para que esta não seja realizada, no entanto a partir de cada recusa começa a fluir o prazo para contestação daquele específico réu, ou seja, nesses casos o prazo não será comum, mas individualizado para cada réu.</w:t>
      </w:r>
    </w:p>
    <w:p w:rsidR="006822FD" w:rsidRDefault="006822FD" w:rsidP="002E4BE5">
      <w:pPr>
        <w:pStyle w:val="NormalWeb"/>
        <w:shd w:val="clear" w:color="auto" w:fill="FFFFFF"/>
        <w:ind w:left="720"/>
        <w:rPr>
          <w:rFonts w:ascii="Arial" w:hAnsi="Arial" w:cs="Arial"/>
        </w:rPr>
      </w:pPr>
    </w:p>
    <w:p w:rsidR="00021B75" w:rsidRDefault="00021B75" w:rsidP="002E4BE5">
      <w:pPr>
        <w:pStyle w:val="NormalWeb"/>
        <w:shd w:val="clear" w:color="auto" w:fill="FFFFFF"/>
        <w:ind w:left="720"/>
        <w:rPr>
          <w:rFonts w:ascii="Arial" w:hAnsi="Arial" w:cs="Arial"/>
        </w:rPr>
      </w:pPr>
    </w:p>
    <w:p w:rsidR="00021B75" w:rsidRDefault="00021B75" w:rsidP="002E4BE5">
      <w:pPr>
        <w:pStyle w:val="NormalWeb"/>
        <w:shd w:val="clear" w:color="auto" w:fill="FFFFFF"/>
        <w:ind w:left="720"/>
      </w:pPr>
      <w:r>
        <w:t xml:space="preserve">1-Errado. O Supremo Tribunal Federal entende majoritariamente que tratados internacionais possuem, no plano interno, status de lei ordinária. Apenas com a Emenda Constitucional 45/2005 sobreveio </w:t>
      </w:r>
      <w:proofErr w:type="gramStart"/>
      <w:r>
        <w:t>a</w:t>
      </w:r>
      <w:proofErr w:type="gramEnd"/>
      <w:r>
        <w:t xml:space="preserve"> possibilidade de, em relação aos tratados internacionais de direitos humanos, o Congresso, aprovando-os através de rito similar ao previsto para as Emendas Constitucionais, assegurar status constitucional e esses tratados.</w:t>
      </w:r>
    </w:p>
    <w:p w:rsidR="00021B75" w:rsidRPr="00E47D08" w:rsidRDefault="00021B75" w:rsidP="002E4BE5">
      <w:pPr>
        <w:pStyle w:val="NormalWeb"/>
        <w:shd w:val="clear" w:color="auto" w:fill="FFFFFF"/>
        <w:ind w:left="720"/>
        <w:rPr>
          <w:rFonts w:ascii="Arial" w:hAnsi="Arial" w:cs="Arial"/>
        </w:rPr>
      </w:pPr>
      <w:r>
        <w:t xml:space="preserve">2-Correto. O Estado responde, no plano internacional, pelas violações aos direitos humanos cometidas por suas unidades federadas. A Convenção Americana de Direitos do Homem afirma, por exemplo, que quando se tratar de </w:t>
      </w:r>
      <w:proofErr w:type="gramStart"/>
      <w:r>
        <w:t xml:space="preserve">um </w:t>
      </w:r>
      <w:proofErr w:type="spellStart"/>
      <w:r>
        <w:t>Estado-parte</w:t>
      </w:r>
      <w:proofErr w:type="spellEnd"/>
      <w:proofErr w:type="gramEnd"/>
      <w:r>
        <w:t xml:space="preserve"> constituído como Estado federal, o governo nacional do aludido </w:t>
      </w:r>
      <w:proofErr w:type="spellStart"/>
      <w:r>
        <w:t>Estado-parte</w:t>
      </w:r>
      <w:proofErr w:type="spellEnd"/>
      <w:r>
        <w:t xml:space="preserve"> cumprirá todas as disposições da presente Convenção, relacionadas com as matérias sobre as quais exerce competência legislativa e judicial. Além disso, dispõe a Convenção que, no tocante às disposições relativas às matérias que correspondem à competência das entidades componentes </w:t>
      </w:r>
      <w:proofErr w:type="gramStart"/>
      <w:r>
        <w:t>da 1001</w:t>
      </w:r>
      <w:proofErr w:type="gramEnd"/>
      <w:r>
        <w:t xml:space="preserve"> Questões Comentadas – Direito Internacional Público - CESPE Professores: Igor Rodrigues e Camila </w:t>
      </w:r>
      <w:proofErr w:type="spellStart"/>
      <w:r>
        <w:t>Vicenci</w:t>
      </w:r>
      <w:proofErr w:type="spellEnd"/>
      <w:r>
        <w:t xml:space="preserve"> 197 federação, o governo nacional deve tomar imediatamente as medidas pertinentes, em conformidade com sua constituição e suas leis, a fim de que as autoridades competentes das referidas entidades possam adotar as disposições cabíveis para o cumprimento desta Convenção.</w:t>
      </w:r>
    </w:p>
    <w:sectPr w:rsidR="00021B75" w:rsidRPr="00E47D08" w:rsidSect="00AA76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6D1"/>
    <w:multiLevelType w:val="hybridMultilevel"/>
    <w:tmpl w:val="DE04FFF0"/>
    <w:lvl w:ilvl="0" w:tplc="B3D45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B17DB"/>
    <w:multiLevelType w:val="hybridMultilevel"/>
    <w:tmpl w:val="1C5445BE"/>
    <w:lvl w:ilvl="0" w:tplc="DDACB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300B8"/>
    <w:multiLevelType w:val="hybridMultilevel"/>
    <w:tmpl w:val="DF70610A"/>
    <w:lvl w:ilvl="0" w:tplc="0BDAEB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265347"/>
    <w:multiLevelType w:val="hybridMultilevel"/>
    <w:tmpl w:val="1708E2BC"/>
    <w:lvl w:ilvl="0" w:tplc="3FCC05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E24E9"/>
    <w:multiLevelType w:val="hybridMultilevel"/>
    <w:tmpl w:val="695EBA94"/>
    <w:lvl w:ilvl="0" w:tplc="8D80016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8BE"/>
    <w:rsid w:val="00021B75"/>
    <w:rsid w:val="002E4BE5"/>
    <w:rsid w:val="006822FD"/>
    <w:rsid w:val="009F221B"/>
    <w:rsid w:val="00AA7674"/>
    <w:rsid w:val="00AE0481"/>
    <w:rsid w:val="00AE08BE"/>
    <w:rsid w:val="00E4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74"/>
  </w:style>
  <w:style w:type="paragraph" w:styleId="Ttulo3">
    <w:name w:val="heading 3"/>
    <w:basedOn w:val="Normal"/>
    <w:link w:val="Ttulo3Char"/>
    <w:uiPriority w:val="9"/>
    <w:qFormat/>
    <w:rsid w:val="002E4B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08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E0481"/>
  </w:style>
  <w:style w:type="character" w:styleId="Forte">
    <w:name w:val="Strong"/>
    <w:basedOn w:val="Fontepargpadro"/>
    <w:uiPriority w:val="22"/>
    <w:qFormat/>
    <w:rsid w:val="00AE048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2E4BE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artigo">
    <w:name w:val="artigo"/>
    <w:basedOn w:val="Normal"/>
    <w:rsid w:val="002E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E4B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259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1725</Words>
  <Characters>9319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</dc:creator>
  <cp:lastModifiedBy>Giovana</cp:lastModifiedBy>
  <cp:revision>2</cp:revision>
  <dcterms:created xsi:type="dcterms:W3CDTF">2016-07-11T00:42:00Z</dcterms:created>
  <dcterms:modified xsi:type="dcterms:W3CDTF">2016-07-11T02:27:00Z</dcterms:modified>
</cp:coreProperties>
</file>